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96955">
      <w:pPr>
        <w:jc w:val="left"/>
        <w:outlineLvl w:val="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表7：</w:t>
      </w:r>
    </w:p>
    <w:p w14:paraId="3B50D0D5">
      <w:pPr>
        <w:adjustRightInd w:val="0"/>
        <w:snapToGrid w:val="0"/>
        <w:spacing w:line="560" w:lineRule="exact"/>
        <w:jc w:val="center"/>
        <w:outlineLvl w:val="0"/>
        <w:rPr>
          <w:rFonts w:ascii="方正小标宋简体" w:eastAsia="方正小标宋简体"/>
          <w:color w:val="000000"/>
          <w:sz w:val="44"/>
          <w:szCs w:val="44"/>
        </w:rPr>
      </w:pPr>
      <w:r>
        <w:rPr>
          <w:rFonts w:hint="eastAsia" w:ascii="方正小标宋简体" w:eastAsia="方正小标宋简体"/>
          <w:color w:val="000000"/>
          <w:sz w:val="44"/>
          <w:szCs w:val="44"/>
        </w:rPr>
        <w:t>湖北省地方标准编制说明</w:t>
      </w:r>
    </w:p>
    <w:p w14:paraId="40562B24">
      <w:pPr>
        <w:adjustRightInd w:val="0"/>
        <w:snapToGrid w:val="0"/>
        <w:spacing w:line="300" w:lineRule="exact"/>
        <w:jc w:val="right"/>
        <w:rPr>
          <w:rFonts w:ascii="方正小标宋简体" w:eastAsia="方正小标宋简体"/>
          <w:color w:val="000000"/>
          <w:sz w:val="44"/>
          <w:szCs w:val="44"/>
        </w:rPr>
      </w:pPr>
    </w:p>
    <w:p w14:paraId="0B6D0B3D">
      <w:pPr>
        <w:adjustRightInd w:val="0"/>
        <w:snapToGrid w:val="0"/>
        <w:spacing w:line="560" w:lineRule="exact"/>
        <w:jc w:val="right"/>
        <w:rPr>
          <w:rFonts w:ascii="方正仿宋_GBK" w:hAnsi="宋体" w:eastAsia="方正仿宋_GBK"/>
          <w:color w:val="000000"/>
          <w:sz w:val="32"/>
          <w:szCs w:val="32"/>
        </w:rPr>
      </w:pPr>
      <w:r>
        <w:rPr>
          <w:rFonts w:hint="eastAsia" w:ascii="方正仿宋_GBK" w:hAnsi="宋体" w:eastAsia="方正仿宋_GBK"/>
          <w:color w:val="000000"/>
          <w:sz w:val="32"/>
          <w:szCs w:val="32"/>
        </w:rPr>
        <w:t>2</w:t>
      </w:r>
      <w:r>
        <w:rPr>
          <w:rFonts w:ascii="方正仿宋_GBK" w:hAnsi="宋体" w:eastAsia="方正仿宋_GBK"/>
          <w:color w:val="000000"/>
          <w:sz w:val="32"/>
          <w:szCs w:val="32"/>
        </w:rPr>
        <w:t>02</w:t>
      </w:r>
      <w:r>
        <w:rPr>
          <w:rFonts w:hint="eastAsia" w:ascii="方正仿宋_GBK" w:hAnsi="宋体" w:eastAsia="方正仿宋_GBK"/>
          <w:color w:val="000000"/>
          <w:sz w:val="32"/>
          <w:szCs w:val="32"/>
          <w:lang w:val="en-US" w:eastAsia="zh-CN"/>
        </w:rPr>
        <w:t>5</w:t>
      </w:r>
      <w:r>
        <w:rPr>
          <w:rFonts w:hint="eastAsia" w:ascii="方正仿宋_GBK" w:hAnsi="宋体" w:eastAsia="方正仿宋_GBK"/>
          <w:color w:val="000000"/>
          <w:sz w:val="32"/>
          <w:szCs w:val="32"/>
        </w:rPr>
        <w:t>年</w:t>
      </w:r>
      <w:r>
        <w:rPr>
          <w:rFonts w:hint="eastAsia" w:ascii="方正仿宋_GBK" w:hAnsi="宋体" w:eastAsia="方正仿宋_GBK"/>
          <w:color w:val="000000"/>
          <w:sz w:val="32"/>
          <w:szCs w:val="32"/>
          <w:lang w:val="en-US" w:eastAsia="zh-CN"/>
        </w:rPr>
        <w:t>8</w:t>
      </w:r>
      <w:r>
        <w:rPr>
          <w:rFonts w:hint="eastAsia" w:ascii="方正仿宋_GBK" w:hAnsi="宋体" w:eastAsia="方正仿宋_GBK"/>
          <w:color w:val="000000"/>
          <w:sz w:val="32"/>
          <w:szCs w:val="32"/>
        </w:rPr>
        <w:t>月</w:t>
      </w:r>
      <w:r>
        <w:rPr>
          <w:rFonts w:ascii="方正仿宋_GBK" w:hAnsi="宋体" w:eastAsia="方正仿宋_GBK"/>
          <w:color w:val="000000"/>
          <w:sz w:val="32"/>
          <w:szCs w:val="32"/>
        </w:rPr>
        <w:t>16</w:t>
      </w:r>
      <w:r>
        <w:rPr>
          <w:rFonts w:hint="eastAsia" w:ascii="方正仿宋_GBK" w:hAnsi="宋体" w:eastAsia="方正仿宋_GBK"/>
          <w:color w:val="000000"/>
          <w:sz w:val="32"/>
          <w:szCs w:val="32"/>
        </w:rPr>
        <w:t xml:space="preserve">日      </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2562"/>
        <w:gridCol w:w="1374"/>
        <w:gridCol w:w="2516"/>
      </w:tblGrid>
      <w:tr w14:paraId="5C2F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215" w:type="pct"/>
            <w:vAlign w:val="center"/>
          </w:tcPr>
          <w:p w14:paraId="766B495D">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标准名称</w:t>
            </w:r>
          </w:p>
        </w:tc>
        <w:tc>
          <w:tcPr>
            <w:tcW w:w="3784" w:type="pct"/>
            <w:gridSpan w:val="3"/>
            <w:vAlign w:val="center"/>
          </w:tcPr>
          <w:p w14:paraId="715D54B5">
            <w:pPr>
              <w:adjustRightInd w:val="0"/>
              <w:snapToGrid w:val="0"/>
              <w:spacing w:line="360" w:lineRule="exact"/>
              <w:rPr>
                <w:rFonts w:hint="default" w:ascii="方正仿宋_GBK" w:hAnsi="宋体" w:eastAsia="方正仿宋_GBK"/>
                <w:color w:val="000000"/>
                <w:sz w:val="28"/>
                <w:szCs w:val="32"/>
                <w:lang w:val="en-US" w:eastAsia="zh-CN"/>
              </w:rPr>
            </w:pPr>
            <w:r>
              <w:rPr>
                <w:rFonts w:hint="default" w:ascii="Times New Roman" w:hAnsi="Times New Roman" w:eastAsia="仿宋_GB2312" w:cs="Times New Roman"/>
                <w:color w:val="000000"/>
                <w:sz w:val="28"/>
                <w:szCs w:val="32"/>
                <w:lang w:eastAsia="zh-CN"/>
              </w:rPr>
              <w:t>危险废物利用处置污染控制技术规范</w:t>
            </w:r>
            <w:r>
              <w:rPr>
                <w:rFonts w:hint="default" w:ascii="Times New Roman" w:hAnsi="Times New Roman" w:eastAsia="仿宋_GB2312" w:cs="Times New Roman"/>
                <w:color w:val="000000"/>
                <w:sz w:val="28"/>
                <w:szCs w:val="32"/>
              </w:rPr>
              <w:t xml:space="preserve"> 第</w:t>
            </w:r>
            <w:r>
              <w:rPr>
                <w:rFonts w:hint="default" w:ascii="Times New Roman" w:hAnsi="Times New Roman" w:eastAsia="仿宋_GB2312" w:cs="Times New Roman"/>
                <w:color w:val="000000"/>
                <w:sz w:val="28"/>
                <w:szCs w:val="32"/>
                <w:lang w:val="en-US" w:eastAsia="zh-CN"/>
              </w:rPr>
              <w:t>1</w:t>
            </w:r>
            <w:r>
              <w:rPr>
                <w:rFonts w:hint="default" w:ascii="Times New Roman" w:hAnsi="Times New Roman" w:eastAsia="仿宋_GB2312" w:cs="Times New Roman"/>
                <w:color w:val="000000"/>
                <w:sz w:val="28"/>
                <w:szCs w:val="32"/>
              </w:rPr>
              <w:t>部分</w:t>
            </w:r>
            <w:r>
              <w:rPr>
                <w:rFonts w:hint="default" w:ascii="Times New Roman" w:hAnsi="Times New Roman" w:eastAsia="仿宋_GB2312" w:cs="Times New Roman"/>
                <w:color w:val="000000"/>
                <w:sz w:val="28"/>
                <w:szCs w:val="32"/>
                <w:lang w:val="en-US" w:eastAsia="zh-CN"/>
              </w:rPr>
              <w:t xml:space="preserve"> 通则</w:t>
            </w:r>
            <w:r>
              <w:rPr>
                <w:rFonts w:hint="default" w:ascii="Times New Roman" w:hAnsi="Times New Roman" w:eastAsia="方正仿宋_GBK" w:cs="Times New Roman"/>
                <w:color w:val="000000"/>
                <w:sz w:val="28"/>
                <w:szCs w:val="32"/>
                <w:lang w:val="en-US" w:eastAsia="zh-CN"/>
              </w:rPr>
              <w:t xml:space="preserve"> </w:t>
            </w:r>
          </w:p>
        </w:tc>
      </w:tr>
      <w:tr w14:paraId="3695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15" w:type="pct"/>
            <w:vAlign w:val="center"/>
          </w:tcPr>
          <w:p w14:paraId="07A5E86C">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被修订或整合</w:t>
            </w:r>
          </w:p>
          <w:p w14:paraId="571A8E50">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标准名称</w:t>
            </w:r>
          </w:p>
        </w:tc>
        <w:tc>
          <w:tcPr>
            <w:tcW w:w="1503" w:type="pct"/>
            <w:vAlign w:val="center"/>
          </w:tcPr>
          <w:p w14:paraId="4BD301C2">
            <w:pPr>
              <w:adjustRightInd w:val="0"/>
              <w:snapToGrid w:val="0"/>
              <w:spacing w:line="360" w:lineRule="exact"/>
              <w:rPr>
                <w:rFonts w:ascii="方正仿宋_GBK" w:hAnsi="宋体" w:eastAsia="方正仿宋_GBK"/>
                <w:color w:val="000000"/>
                <w:sz w:val="28"/>
                <w:szCs w:val="32"/>
              </w:rPr>
            </w:pPr>
          </w:p>
        </w:tc>
        <w:tc>
          <w:tcPr>
            <w:tcW w:w="806" w:type="pct"/>
            <w:vAlign w:val="center"/>
          </w:tcPr>
          <w:p w14:paraId="4EC8D145">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被代替</w:t>
            </w:r>
          </w:p>
          <w:p w14:paraId="7B27A6A1">
            <w:pPr>
              <w:adjustRightInd w:val="0"/>
              <w:snapToGrid w:val="0"/>
              <w:spacing w:line="360" w:lineRule="exact"/>
              <w:rPr>
                <w:rFonts w:ascii="方正仿宋_GBK" w:hAnsi="宋体" w:eastAsia="方正仿宋_GBK"/>
                <w:color w:val="000000"/>
                <w:sz w:val="28"/>
                <w:szCs w:val="32"/>
              </w:rPr>
            </w:pPr>
            <w:r>
              <w:rPr>
                <w:rFonts w:hint="eastAsia" w:ascii="方正仿宋_GBK" w:eastAsia="方正仿宋_GBK"/>
                <w:color w:val="000000"/>
                <w:sz w:val="28"/>
                <w:szCs w:val="32"/>
              </w:rPr>
              <w:t>标准编号</w:t>
            </w:r>
          </w:p>
        </w:tc>
        <w:tc>
          <w:tcPr>
            <w:tcW w:w="1475" w:type="pct"/>
            <w:vAlign w:val="center"/>
          </w:tcPr>
          <w:p w14:paraId="36D33C19">
            <w:pPr>
              <w:adjustRightInd w:val="0"/>
              <w:snapToGrid w:val="0"/>
              <w:spacing w:line="360" w:lineRule="exact"/>
              <w:rPr>
                <w:rFonts w:ascii="方正仿宋_GBK" w:hAnsi="宋体" w:eastAsia="方正仿宋_GBK"/>
                <w:color w:val="000000"/>
                <w:sz w:val="28"/>
                <w:szCs w:val="32"/>
              </w:rPr>
            </w:pPr>
          </w:p>
        </w:tc>
      </w:tr>
      <w:tr w14:paraId="1982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jc w:val="center"/>
        </w:trPr>
        <w:tc>
          <w:tcPr>
            <w:tcW w:w="1215" w:type="pct"/>
            <w:vAlign w:val="center"/>
          </w:tcPr>
          <w:p w14:paraId="0C275FB1">
            <w:pPr>
              <w:adjustRightInd w:val="0"/>
              <w:snapToGrid w:val="0"/>
              <w:spacing w:line="360" w:lineRule="exact"/>
              <w:jc w:val="distribute"/>
              <w:rPr>
                <w:rFonts w:ascii="方正仿宋_GBK" w:eastAsia="方正仿宋_GBK"/>
                <w:color w:val="000000"/>
                <w:sz w:val="28"/>
                <w:szCs w:val="32"/>
              </w:rPr>
            </w:pPr>
            <w:r>
              <w:rPr>
                <w:rFonts w:hint="eastAsia" w:ascii="方正仿宋_GBK" w:eastAsia="方正仿宋_GBK"/>
                <w:color w:val="000000"/>
                <w:sz w:val="28"/>
                <w:szCs w:val="32"/>
              </w:rPr>
              <w:t>起草单位</w:t>
            </w:r>
          </w:p>
          <w:p w14:paraId="3776DD3C">
            <w:pPr>
              <w:adjustRightInd w:val="0"/>
              <w:snapToGrid w:val="0"/>
              <w:spacing w:line="360" w:lineRule="exact"/>
              <w:jc w:val="distribute"/>
              <w:rPr>
                <w:rFonts w:ascii="方正仿宋_GBK" w:eastAsia="方正仿宋_GBK"/>
                <w:color w:val="000000"/>
                <w:sz w:val="28"/>
                <w:szCs w:val="32"/>
              </w:rPr>
            </w:pPr>
            <w:r>
              <w:rPr>
                <w:rFonts w:hint="eastAsia" w:ascii="方正仿宋_GBK" w:hAnsi="宋体" w:eastAsia="方正仿宋_GBK"/>
                <w:color w:val="000000"/>
                <w:sz w:val="28"/>
                <w:szCs w:val="32"/>
              </w:rPr>
              <w:t>（盖章）</w:t>
            </w:r>
          </w:p>
        </w:tc>
        <w:tc>
          <w:tcPr>
            <w:tcW w:w="3784" w:type="pct"/>
            <w:gridSpan w:val="3"/>
            <w:vAlign w:val="center"/>
          </w:tcPr>
          <w:p w14:paraId="031D6B3E">
            <w:pPr>
              <w:adjustRightInd w:val="0"/>
              <w:snapToGrid w:val="0"/>
              <w:spacing w:line="360" w:lineRule="exact"/>
              <w:rPr>
                <w:rFonts w:hint="eastAsia"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湖北省生态环境科学研究院（省生态环境工程评估中心）</w:t>
            </w:r>
          </w:p>
          <w:p w14:paraId="6A0FE31C">
            <w:pPr>
              <w:adjustRightInd w:val="0"/>
              <w:snapToGrid w:val="0"/>
              <w:spacing w:line="360" w:lineRule="exact"/>
              <w:rPr>
                <w:rFonts w:hint="eastAsia" w:ascii="方正仿宋_GBK" w:eastAsia="方正仿宋_GBK"/>
                <w:color w:val="000000"/>
                <w:sz w:val="28"/>
                <w:szCs w:val="32"/>
              </w:rPr>
            </w:pPr>
            <w:r>
              <w:rPr>
                <w:rFonts w:hint="eastAsia" w:ascii="Times New Roman" w:hAnsi="Times New Roman" w:eastAsia="仿宋_GB2312" w:cs="Times New Roman"/>
                <w:color w:val="000000"/>
                <w:sz w:val="28"/>
                <w:szCs w:val="32"/>
                <w:lang w:eastAsia="zh-CN"/>
              </w:rPr>
              <w:t>湖北省固体废物与化学品污染防治中心</w:t>
            </w:r>
          </w:p>
        </w:tc>
      </w:tr>
      <w:tr w14:paraId="43D3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01DD0A9B">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1.项目简介：</w:t>
            </w:r>
          </w:p>
          <w:p w14:paraId="0763F37A">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eastAsia="zh-CN"/>
              </w:rPr>
              <w:t>（1）</w:t>
            </w:r>
            <w:r>
              <w:rPr>
                <w:rFonts w:hint="eastAsia" w:ascii="Times New Roman" w:hAnsi="Times New Roman" w:eastAsia="仿宋_GB2312" w:cs="Times New Roman"/>
                <w:color w:val="000000"/>
                <w:sz w:val="28"/>
                <w:szCs w:val="32"/>
                <w:lang w:val="en-US" w:eastAsia="zh-CN"/>
              </w:rPr>
              <w:t>研究背景</w:t>
            </w:r>
          </w:p>
          <w:p w14:paraId="7E59C010">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val="en-US" w:eastAsia="zh-CN"/>
              </w:rPr>
              <w:t>危险废物因其具有毒性、腐蚀性、易燃性、反应性等危险特性，若处置不当，将对生态环境和人体健康构成严重威胁。</w:t>
            </w:r>
            <w:r>
              <w:rPr>
                <w:rFonts w:hint="eastAsia" w:ascii="Times New Roman" w:hAnsi="Times New Roman" w:eastAsia="仿宋_GB2312" w:cs="Times New Roman"/>
                <w:color w:val="000000"/>
                <w:sz w:val="28"/>
                <w:szCs w:val="32"/>
                <w:lang w:eastAsia="zh-CN"/>
              </w:rPr>
              <w:t>危险废物环境管理是生态文明建设和生态环境保护的重要方面，是打好污染防治攻坚战的重要内容，对于改善环境质量，防范环境风险，维护生态环境安全，保护人体健康具有重要意义。</w:t>
            </w:r>
            <w:r>
              <w:rPr>
                <w:rFonts w:hint="eastAsia" w:ascii="Times New Roman" w:hAnsi="Times New Roman" w:eastAsia="仿宋_GB2312" w:cs="Times New Roman"/>
                <w:color w:val="000000"/>
                <w:sz w:val="28"/>
                <w:szCs w:val="32"/>
                <w:lang w:val="en-US" w:eastAsia="zh-CN"/>
              </w:rPr>
              <w:t>近年来湖北省内危险废物产生量呈逐年上升趋势，</w:t>
            </w:r>
            <w:r>
              <w:rPr>
                <w:rFonts w:hint="eastAsia" w:ascii="Times New Roman" w:hAnsi="Times New Roman" w:eastAsia="仿宋_GB2312" w:cs="Times New Roman"/>
                <w:color w:val="000000"/>
                <w:sz w:val="28"/>
                <w:szCs w:val="32"/>
                <w:lang w:eastAsia="zh-CN"/>
              </w:rPr>
              <w:t>危险废物资源化利用产业链精深加工不够，存在低水平和同质化竞争现象，特别是废矿物油、有色金属冶炼废物、废电路板、废蚀刻液等危险废物，其利用能力远超实际处理需求，企业间的恶性竞争激烈，严重限制了行业的高质量发展</w:t>
            </w:r>
            <w:r>
              <w:rPr>
                <w:rFonts w:hint="eastAsia" w:ascii="Times New Roman" w:hAnsi="Times New Roman" w:eastAsia="仿宋_GB2312" w:cs="Times New Roman"/>
                <w:color w:val="000000"/>
                <w:sz w:val="28"/>
                <w:szCs w:val="32"/>
                <w:lang w:val="en-US" w:eastAsia="zh-CN"/>
              </w:rPr>
              <w:t>。因此</w:t>
            </w:r>
            <w:r>
              <w:rPr>
                <w:rFonts w:hint="eastAsia" w:ascii="Times New Roman" w:hAnsi="Times New Roman" w:eastAsia="仿宋_GB2312" w:cs="Times New Roman"/>
                <w:color w:val="000000"/>
                <w:sz w:val="28"/>
                <w:szCs w:val="32"/>
                <w:lang w:eastAsia="zh-CN"/>
              </w:rPr>
              <w:t>逐步建立我省危险废物综合利用行业污染控制技术标准体系，</w:t>
            </w:r>
            <w:r>
              <w:rPr>
                <w:rFonts w:hint="eastAsia" w:ascii="Times New Roman" w:hAnsi="Times New Roman" w:eastAsia="仿宋_GB2312" w:cs="Times New Roman"/>
                <w:color w:val="000000"/>
                <w:sz w:val="28"/>
                <w:szCs w:val="32"/>
                <w:lang w:val="en-US" w:eastAsia="zh-CN"/>
              </w:rPr>
              <w:t>对</w:t>
            </w:r>
            <w:r>
              <w:rPr>
                <w:rFonts w:hint="eastAsia" w:ascii="Times New Roman" w:hAnsi="Times New Roman" w:eastAsia="仿宋_GB2312" w:cs="Times New Roman"/>
                <w:color w:val="000000"/>
                <w:sz w:val="28"/>
                <w:szCs w:val="32"/>
                <w:lang w:eastAsia="zh-CN"/>
              </w:rPr>
              <w:t>解决我省危险废物资源化利用不充分、技术水平落后等问题，推动危险废物安全高效利用，促进危险废物行业健康有序、高质量发展</w:t>
            </w:r>
            <w:r>
              <w:rPr>
                <w:rFonts w:hint="eastAsia" w:ascii="Times New Roman" w:hAnsi="Times New Roman" w:eastAsia="仿宋_GB2312" w:cs="Times New Roman"/>
                <w:color w:val="000000"/>
                <w:sz w:val="28"/>
                <w:szCs w:val="32"/>
                <w:lang w:val="en-US" w:eastAsia="zh-CN"/>
              </w:rPr>
              <w:t>具有重要意义</w:t>
            </w:r>
            <w:r>
              <w:rPr>
                <w:rFonts w:hint="eastAsia" w:ascii="Times New Roman" w:hAnsi="Times New Roman" w:eastAsia="仿宋_GB2312" w:cs="Times New Roman"/>
                <w:color w:val="000000"/>
                <w:sz w:val="28"/>
                <w:szCs w:val="32"/>
                <w:lang w:eastAsia="zh-CN"/>
              </w:rPr>
              <w:t>。</w:t>
            </w:r>
          </w:p>
          <w:p w14:paraId="312F8500">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eastAsia="zh-CN"/>
              </w:rPr>
              <w:t>（2）</w:t>
            </w:r>
            <w:r>
              <w:rPr>
                <w:rFonts w:hint="eastAsia" w:eastAsia="仿宋_GB2312" w:cs="Times New Roman"/>
                <w:color w:val="000000"/>
                <w:sz w:val="28"/>
                <w:szCs w:val="32"/>
                <w:lang w:val="en-US" w:eastAsia="zh-CN"/>
              </w:rPr>
              <w:t>政策依据</w:t>
            </w:r>
          </w:p>
          <w:p w14:paraId="1FB8C9F3">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default" w:ascii="Times New Roman" w:hAnsi="Times New Roman" w:eastAsia="仿宋_GB2312" w:cs="Times New Roman"/>
                <w:color w:val="000000"/>
                <w:sz w:val="28"/>
                <w:szCs w:val="32"/>
                <w:lang w:val="en-US" w:eastAsia="zh-CN"/>
              </w:rPr>
              <w:t>2023年5月，《湖北省强化危险废物监管和利用处置能力改革三年攻坚实施方案（2023-2025年）》（鄂政办发〔2023〕16号）（以下简称《实施方案》）经省人民政府正式印发实施，《实施方案》提出，推动危险废物利用行业提档升级，制定发布湖北省危险废物综合利用相关行业污染控制技术规范，促进全省危险废物利用行业持续健康发展。</w:t>
            </w:r>
          </w:p>
          <w:p w14:paraId="710EA61A">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（3）项目必要性及可行性分析</w:t>
            </w:r>
          </w:p>
          <w:p w14:paraId="2A6888F4">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default" w:ascii="Times New Roman" w:hAnsi="Times New Roman" w:eastAsia="仿宋_GB2312" w:cs="Times New Roman"/>
                <w:color w:val="000000"/>
                <w:sz w:val="28"/>
                <w:szCs w:val="32"/>
                <w:lang w:val="en-US" w:eastAsia="zh-CN"/>
              </w:rPr>
              <w:fldChar w:fldCharType="begin"/>
            </w:r>
            <w:r>
              <w:rPr>
                <w:rFonts w:hint="default" w:ascii="Times New Roman" w:hAnsi="Times New Roman" w:eastAsia="仿宋_GB2312" w:cs="Times New Roman"/>
                <w:color w:val="000000"/>
                <w:sz w:val="28"/>
                <w:szCs w:val="32"/>
                <w:lang w:val="en-US" w:eastAsia="zh-CN"/>
              </w:rPr>
              <w:instrText xml:space="preserve"> = 1 \* GB3 \* MERGEFORMAT </w:instrText>
            </w:r>
            <w:r>
              <w:rPr>
                <w:rFonts w:hint="default" w:ascii="Times New Roman" w:hAnsi="Times New Roman" w:eastAsia="仿宋_GB2312" w:cs="Times New Roman"/>
                <w:color w:val="000000"/>
                <w:sz w:val="28"/>
                <w:szCs w:val="32"/>
                <w:lang w:val="en-US" w:eastAsia="zh-CN"/>
              </w:rPr>
              <w:fldChar w:fldCharType="separate"/>
            </w:r>
            <w:r>
              <w:rPr>
                <w:rFonts w:hint="default" w:ascii="Times New Roman" w:hAnsi="Times New Roman" w:eastAsia="仿宋_GB2312" w:cs="Times New Roman"/>
                <w:color w:val="000000"/>
                <w:sz w:val="28"/>
                <w:szCs w:val="32"/>
                <w:lang w:val="en-US" w:eastAsia="zh-CN"/>
              </w:rPr>
              <w:t>①</w:t>
            </w:r>
            <w:r>
              <w:rPr>
                <w:rFonts w:hint="default" w:ascii="Times New Roman" w:hAnsi="Times New Roman" w:eastAsia="仿宋_GB2312" w:cs="Times New Roman"/>
                <w:color w:val="000000"/>
                <w:sz w:val="28"/>
                <w:szCs w:val="32"/>
                <w:lang w:val="en-US" w:eastAsia="zh-CN"/>
              </w:rPr>
              <w:fldChar w:fldCharType="end"/>
            </w:r>
            <w:r>
              <w:rPr>
                <w:rFonts w:hint="default" w:ascii="Times New Roman" w:hAnsi="Times New Roman" w:eastAsia="仿宋_GB2312" w:cs="Times New Roman"/>
                <w:color w:val="000000"/>
                <w:sz w:val="28"/>
                <w:szCs w:val="32"/>
                <w:lang w:val="en-US" w:eastAsia="zh-CN"/>
              </w:rPr>
              <w:t>填补标准缺失短板。国家针对焚烧、填埋处置单位污染控制已经出台了相应的标准规范，但危险废物综合利用标准规范较为缺乏，且标准与标准之间分散不衔接、部分管控指标未明确实施细则。因此，《通则》的制定可以补齐重点行业综合利用标准缺失短板，规范危险废物综合利用全过程管理，防止二次污染和环境风险。</w:t>
            </w:r>
          </w:p>
          <w:p w14:paraId="3574C917">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default" w:ascii="Times New Roman" w:hAnsi="Times New Roman" w:eastAsia="仿宋_GB2312" w:cs="Times New Roman"/>
                <w:color w:val="000000"/>
                <w:sz w:val="28"/>
                <w:szCs w:val="32"/>
                <w:lang w:val="en-US" w:eastAsia="zh-CN"/>
              </w:rPr>
              <w:fldChar w:fldCharType="begin"/>
            </w:r>
            <w:r>
              <w:rPr>
                <w:rFonts w:hint="default" w:ascii="Times New Roman" w:hAnsi="Times New Roman" w:eastAsia="仿宋_GB2312" w:cs="Times New Roman"/>
                <w:color w:val="000000"/>
                <w:sz w:val="28"/>
                <w:szCs w:val="32"/>
                <w:lang w:val="en-US" w:eastAsia="zh-CN"/>
              </w:rPr>
              <w:instrText xml:space="preserve"> = 2 \* GB3 \* MERGEFORMAT </w:instrText>
            </w:r>
            <w:r>
              <w:rPr>
                <w:rFonts w:hint="default" w:ascii="Times New Roman" w:hAnsi="Times New Roman" w:eastAsia="仿宋_GB2312" w:cs="Times New Roman"/>
                <w:color w:val="000000"/>
                <w:sz w:val="28"/>
                <w:szCs w:val="32"/>
                <w:lang w:val="en-US" w:eastAsia="zh-CN"/>
              </w:rPr>
              <w:fldChar w:fldCharType="separate"/>
            </w:r>
            <w:r>
              <w:rPr>
                <w:rFonts w:hint="default" w:ascii="Times New Roman" w:hAnsi="Times New Roman" w:eastAsia="仿宋_GB2312" w:cs="Times New Roman"/>
                <w:color w:val="000000"/>
                <w:sz w:val="28"/>
                <w:szCs w:val="32"/>
                <w:lang w:val="en-US" w:eastAsia="zh-CN"/>
              </w:rPr>
              <w:t>②</w:t>
            </w:r>
            <w:r>
              <w:rPr>
                <w:rFonts w:hint="default" w:ascii="Times New Roman" w:hAnsi="Times New Roman" w:eastAsia="仿宋_GB2312" w:cs="Times New Roman"/>
                <w:color w:val="000000"/>
                <w:sz w:val="28"/>
                <w:szCs w:val="32"/>
                <w:lang w:val="en-US" w:eastAsia="zh-CN"/>
              </w:rPr>
              <w:fldChar w:fldCharType="end"/>
            </w:r>
            <w:r>
              <w:rPr>
                <w:rFonts w:hint="default" w:ascii="Times New Roman" w:hAnsi="Times New Roman" w:eastAsia="仿宋_GB2312" w:cs="Times New Roman"/>
                <w:color w:val="000000"/>
                <w:sz w:val="28"/>
                <w:szCs w:val="32"/>
                <w:lang w:val="en-US" w:eastAsia="zh-CN"/>
              </w:rPr>
              <w:t>引领行业高质量发展。随着危险废物综合利用行业的快速发展，行业内存在技术工艺落后、污染防治措施不到位、产能严重过剩等问题。此外，一些企业还存在混淆产品和废物，借副产品名义逃避危险废物监管等问题，社会潜在环境风险大。《通则》的制定可以倒逼企业加快转型升级，采用二次污染少、环境风险低、自动化程度高的技术及装备，提升行业运行管理水平，促进危险废物综合利用产业的健康发展。</w:t>
            </w:r>
          </w:p>
          <w:p w14:paraId="459BABB4">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default" w:ascii="Times New Roman" w:hAnsi="Times New Roman" w:eastAsia="仿宋_GB2312" w:cs="Times New Roman"/>
                <w:color w:val="000000"/>
                <w:sz w:val="28"/>
                <w:szCs w:val="32"/>
                <w:lang w:val="en-US" w:eastAsia="zh-CN"/>
              </w:rPr>
              <w:fldChar w:fldCharType="begin"/>
            </w:r>
            <w:r>
              <w:rPr>
                <w:rFonts w:hint="default" w:ascii="Times New Roman" w:hAnsi="Times New Roman" w:eastAsia="仿宋_GB2312" w:cs="Times New Roman"/>
                <w:color w:val="000000"/>
                <w:sz w:val="28"/>
                <w:szCs w:val="32"/>
                <w:lang w:val="en-US" w:eastAsia="zh-CN"/>
              </w:rPr>
              <w:instrText xml:space="preserve"> = 3 \* GB3 \* MERGEFORMAT </w:instrText>
            </w:r>
            <w:r>
              <w:rPr>
                <w:rFonts w:hint="default" w:ascii="Times New Roman" w:hAnsi="Times New Roman" w:eastAsia="仿宋_GB2312" w:cs="Times New Roman"/>
                <w:color w:val="000000"/>
                <w:sz w:val="28"/>
                <w:szCs w:val="32"/>
                <w:lang w:val="en-US" w:eastAsia="zh-CN"/>
              </w:rPr>
              <w:fldChar w:fldCharType="separate"/>
            </w:r>
            <w:r>
              <w:rPr>
                <w:rFonts w:hint="default" w:ascii="Times New Roman" w:hAnsi="Times New Roman" w:eastAsia="仿宋_GB2312" w:cs="Times New Roman"/>
                <w:color w:val="000000"/>
                <w:sz w:val="28"/>
                <w:szCs w:val="32"/>
                <w:lang w:val="en-US" w:eastAsia="zh-CN"/>
              </w:rPr>
              <w:t>③</w:t>
            </w:r>
            <w:r>
              <w:rPr>
                <w:rFonts w:hint="default" w:ascii="Times New Roman" w:hAnsi="Times New Roman" w:eastAsia="仿宋_GB2312" w:cs="Times New Roman"/>
                <w:color w:val="000000"/>
                <w:sz w:val="28"/>
                <w:szCs w:val="32"/>
                <w:lang w:val="en-US" w:eastAsia="zh-CN"/>
              </w:rPr>
              <w:fldChar w:fldCharType="end"/>
            </w:r>
            <w:r>
              <w:rPr>
                <w:rFonts w:hint="default" w:ascii="Times New Roman" w:hAnsi="Times New Roman" w:eastAsia="仿宋_GB2312" w:cs="Times New Roman"/>
                <w:color w:val="000000"/>
                <w:sz w:val="28"/>
                <w:szCs w:val="32"/>
                <w:lang w:val="en-US" w:eastAsia="zh-CN"/>
              </w:rPr>
              <w:t>统一监督管理尺度。在日常管理中，管理部门在环评审批、许可证发放和环境执法等方面缺乏统一的标准和依据。《通则》的制定为管理部门提供了明确的监管依据，统一了监督管理尺度。同时，也有助于企业降低危险废物不规范综合利用而导致的风险隐患，帮助企业落实主体责任，提高自身管理水平。</w:t>
            </w:r>
          </w:p>
          <w:p w14:paraId="0A6D71E5">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default" w:ascii="Times New Roman" w:hAnsi="Times New Roman" w:eastAsia="仿宋_GB2312" w:cs="Times New Roman"/>
                <w:color w:val="000000"/>
                <w:sz w:val="28"/>
                <w:szCs w:val="32"/>
                <w:lang w:val="en-US" w:eastAsia="zh-CN"/>
              </w:rPr>
              <w:fldChar w:fldCharType="begin"/>
            </w:r>
            <w:r>
              <w:rPr>
                <w:rFonts w:hint="default" w:ascii="Times New Roman" w:hAnsi="Times New Roman" w:eastAsia="仿宋_GB2312" w:cs="Times New Roman"/>
                <w:color w:val="000000"/>
                <w:sz w:val="28"/>
                <w:szCs w:val="32"/>
                <w:lang w:val="en-US" w:eastAsia="zh-CN"/>
              </w:rPr>
              <w:instrText xml:space="preserve"> = 4 \* GB3 \* MERGEFORMAT </w:instrText>
            </w:r>
            <w:r>
              <w:rPr>
                <w:rFonts w:hint="default" w:ascii="Times New Roman" w:hAnsi="Times New Roman" w:eastAsia="仿宋_GB2312" w:cs="Times New Roman"/>
                <w:color w:val="000000"/>
                <w:sz w:val="28"/>
                <w:szCs w:val="32"/>
                <w:lang w:val="en-US" w:eastAsia="zh-CN"/>
              </w:rPr>
              <w:fldChar w:fldCharType="separate"/>
            </w:r>
            <w:r>
              <w:rPr>
                <w:rFonts w:hint="default" w:ascii="Times New Roman" w:hAnsi="Times New Roman" w:eastAsia="仿宋_GB2312" w:cs="Times New Roman"/>
                <w:color w:val="000000"/>
                <w:sz w:val="28"/>
                <w:szCs w:val="32"/>
                <w:lang w:val="en-US" w:eastAsia="zh-CN"/>
              </w:rPr>
              <w:t>④</w:t>
            </w:r>
            <w:r>
              <w:rPr>
                <w:rFonts w:hint="default" w:ascii="Times New Roman" w:hAnsi="Times New Roman" w:eastAsia="仿宋_GB2312" w:cs="Times New Roman"/>
                <w:color w:val="000000"/>
                <w:sz w:val="28"/>
                <w:szCs w:val="32"/>
                <w:lang w:val="en-US" w:eastAsia="zh-CN"/>
              </w:rPr>
              <w:fldChar w:fldCharType="end"/>
            </w:r>
            <w:r>
              <w:rPr>
                <w:rFonts w:hint="default" w:ascii="Times New Roman" w:hAnsi="Times New Roman" w:eastAsia="仿宋_GB2312" w:cs="Times New Roman"/>
                <w:color w:val="000000"/>
                <w:sz w:val="28"/>
                <w:szCs w:val="32"/>
                <w:lang w:val="en-US" w:eastAsia="zh-CN"/>
              </w:rPr>
              <w:t>推动形成绿色低碳的生产方式。《通则》的制定与实施符合党的二十大报告提出的完善支持绿色发展的标准体系，推动形成绿色低碳的生产方式和生活方式。通过规范危险废物的综合利用与处置，可以减少环境污染和生态破坏，促进资源的节约和循环利用，从而推动经济的可持续发展。</w:t>
            </w:r>
          </w:p>
          <w:p w14:paraId="0051951C">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default" w:ascii="Times New Roman" w:hAnsi="Times New Roman" w:eastAsia="仿宋_GB2312" w:cs="Times New Roman"/>
                <w:color w:val="000000"/>
                <w:sz w:val="28"/>
                <w:szCs w:val="32"/>
                <w:lang w:val="en-US" w:eastAsia="zh-CN"/>
              </w:rPr>
              <w:fldChar w:fldCharType="begin"/>
            </w:r>
            <w:r>
              <w:rPr>
                <w:rFonts w:hint="default" w:ascii="Times New Roman" w:hAnsi="Times New Roman" w:eastAsia="仿宋_GB2312" w:cs="Times New Roman"/>
                <w:color w:val="000000"/>
                <w:sz w:val="28"/>
                <w:szCs w:val="32"/>
                <w:lang w:val="en-US" w:eastAsia="zh-CN"/>
              </w:rPr>
              <w:instrText xml:space="preserve"> = 5 \* GB3 \* MERGEFORMAT </w:instrText>
            </w:r>
            <w:r>
              <w:rPr>
                <w:rFonts w:hint="default" w:ascii="Times New Roman" w:hAnsi="Times New Roman" w:eastAsia="仿宋_GB2312" w:cs="Times New Roman"/>
                <w:color w:val="000000"/>
                <w:sz w:val="28"/>
                <w:szCs w:val="32"/>
                <w:lang w:val="en-US" w:eastAsia="zh-CN"/>
              </w:rPr>
              <w:fldChar w:fldCharType="separate"/>
            </w:r>
            <w:r>
              <w:rPr>
                <w:rFonts w:hint="default" w:ascii="Times New Roman" w:hAnsi="Times New Roman" w:eastAsia="仿宋_GB2312" w:cs="Times New Roman"/>
                <w:color w:val="000000"/>
                <w:sz w:val="28"/>
                <w:szCs w:val="32"/>
                <w:lang w:val="en-US" w:eastAsia="zh-CN"/>
              </w:rPr>
              <w:t>⑤</w:t>
            </w:r>
            <w:r>
              <w:rPr>
                <w:rFonts w:hint="default" w:ascii="Times New Roman" w:hAnsi="Times New Roman" w:eastAsia="仿宋_GB2312" w:cs="Times New Roman"/>
                <w:color w:val="000000"/>
                <w:sz w:val="28"/>
                <w:szCs w:val="32"/>
                <w:lang w:val="en-US" w:eastAsia="zh-CN"/>
              </w:rPr>
              <w:fldChar w:fldCharType="end"/>
            </w:r>
            <w:r>
              <w:rPr>
                <w:rFonts w:hint="default" w:ascii="Times New Roman" w:hAnsi="Times New Roman" w:eastAsia="仿宋_GB2312" w:cs="Times New Roman"/>
                <w:color w:val="000000"/>
                <w:sz w:val="28"/>
                <w:szCs w:val="32"/>
                <w:lang w:val="en-US" w:eastAsia="zh-CN"/>
              </w:rPr>
              <w:t>解决危险废物利用处置行业发展困境。当前，危险废物利用处置行业面临着诸多困境，如技术瓶颈、资金短缺、市场不规范等。《通则》的制定可以引导行业向规范化、标准化方向发展，提高行业的整体竞争力。同时，通过鼓励技术创新和产业升级，可以推动行业向更加高效、环保的方向发展。</w:t>
            </w:r>
          </w:p>
        </w:tc>
      </w:tr>
      <w:tr w14:paraId="5249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61AC1694">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eastAsia="zh-CN"/>
              </w:rPr>
              <w:t>2.</w:t>
            </w:r>
            <w:r>
              <w:rPr>
                <w:rFonts w:hint="eastAsia" w:eastAsia="仿宋_GB2312" w:cs="Times New Roman"/>
                <w:color w:val="000000"/>
                <w:sz w:val="28"/>
                <w:szCs w:val="32"/>
                <w:lang w:val="en-US" w:eastAsia="zh-CN"/>
              </w:rPr>
              <w:t>编制目的</w:t>
            </w:r>
          </w:p>
          <w:p w14:paraId="3F5F1027">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本技术规范的编制旨在为湖北省危险废物利用处置单位提供详细、可行的技术指导，规范危险废物从入厂分析、贮存、物化处理、综合利用、焚烧、填埋到运行管理等全过程的污染控制措施，确保危险废物在利用处置过程中，最大限度减少对环境的污染，保障生态环境安全和人体健康。通过明确各项技术要求，提高湖北省危险废物利用处置行业的整体技术水平和管理水平，促进危险废物利用处置行业的规范化、可持续发展，实现危险废物的减量化、无害化和资源化目标。</w:t>
            </w:r>
          </w:p>
          <w:p w14:paraId="5BAC2418">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eastAsia" w:eastAsia="仿宋_GB2312" w:cs="Times New Roman"/>
                <w:color w:val="000000"/>
                <w:sz w:val="28"/>
                <w:szCs w:val="32"/>
                <w:lang w:val="en-US" w:eastAsia="zh-CN"/>
              </w:rPr>
              <w:t>3.主要内容</w:t>
            </w:r>
          </w:p>
          <w:p w14:paraId="7C3C1973">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适用范围：本标准适用于湖北省内危险废物利用处置单位全过程的污染控制，包括危险废物的入厂分析、贮存、物化处理、综合利用、焚烧、填埋和运行管理等的污染控制技术要求。同时，产废单位自建危险废物综合利用处置设施也可参照本规范执行。明确规定本规范不适用于水泥窑协同处置危险废物、医疗废物处理处置设施，因为这两类危险废物处理处置具有其特殊性，已有专门的标准规范进行管理。</w:t>
            </w:r>
          </w:p>
          <w:p w14:paraId="077A8C32">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val="en-US" w:eastAsia="zh-CN"/>
              </w:rPr>
              <w:t>主要内容包括：1.范围；2.规范性引用文件；3.术语和定义；4.总体要求；5.入厂分析；6.贮存；7.物化处理；8.综合利用；9.焚烧；10.填埋；11.运行管理。</w:t>
            </w:r>
          </w:p>
          <w:p w14:paraId="50BF5F4E">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eastAsia="仿宋_GB2312" w:cs="Times New Roman"/>
                <w:color w:val="000000"/>
                <w:sz w:val="28"/>
                <w:szCs w:val="32"/>
                <w:lang w:val="en-US" w:eastAsia="zh-CN"/>
              </w:rPr>
              <w:t>4.</w:t>
            </w:r>
            <w:r>
              <w:rPr>
                <w:rFonts w:hint="eastAsia" w:ascii="Times New Roman" w:hAnsi="Times New Roman" w:eastAsia="仿宋_GB2312" w:cs="Times New Roman"/>
                <w:color w:val="000000"/>
                <w:sz w:val="28"/>
                <w:szCs w:val="32"/>
                <w:lang w:eastAsia="zh-CN"/>
              </w:rPr>
              <w:t>技术路线：</w:t>
            </w:r>
          </w:p>
          <w:p w14:paraId="6E3B5E50">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eastAsia" w:eastAsia="仿宋_GB2312" w:cs="Times New Roman"/>
                <w:color w:val="000000"/>
                <w:sz w:val="28"/>
                <w:szCs w:val="32"/>
                <w:lang w:val="en-US" w:eastAsia="zh-CN"/>
              </w:rPr>
              <w:t>（1）</w:t>
            </w:r>
            <w:r>
              <w:rPr>
                <w:rFonts w:hint="default" w:ascii="Times New Roman" w:hAnsi="Times New Roman" w:eastAsia="仿宋_GB2312" w:cs="Times New Roman"/>
                <w:color w:val="000000"/>
                <w:sz w:val="28"/>
                <w:szCs w:val="32"/>
                <w:lang w:val="en-US" w:eastAsia="zh-CN"/>
              </w:rPr>
              <w:t>收集国内外危险废物利用处置相关的国家标准、行业标准和地方标准，了解相关标准的适用范围、应用场景和关键技术要点，总结危险废物利用处置各环节中应关注的内容，基于湖北省危险废物利用处置现状，从危险废物的入厂、预处理、处理、利用、环境管理、运行管理等方面研究污染控制技术规范。</w:t>
            </w:r>
          </w:p>
          <w:p w14:paraId="5E532AB8">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eastAsia" w:eastAsia="仿宋_GB2312" w:cs="Times New Roman"/>
                <w:color w:val="000000"/>
                <w:sz w:val="28"/>
                <w:szCs w:val="32"/>
                <w:lang w:val="en-US" w:eastAsia="zh-CN"/>
              </w:rPr>
              <w:t>（2）</w:t>
            </w:r>
            <w:r>
              <w:rPr>
                <w:rFonts w:hint="default" w:ascii="Times New Roman" w:hAnsi="Times New Roman" w:eastAsia="仿宋_GB2312" w:cs="Times New Roman"/>
                <w:color w:val="000000"/>
                <w:sz w:val="28"/>
                <w:szCs w:val="32"/>
                <w:lang w:val="en-US" w:eastAsia="zh-CN"/>
              </w:rPr>
              <w:t>研究危险废物利用处置污染控制关键节点，明确各关键节点的技术要求及控制参数。</w:t>
            </w:r>
          </w:p>
          <w:p w14:paraId="0F097C7F">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eastAsia="仿宋_GB2312" w:cs="Times New Roman"/>
                <w:color w:val="000000"/>
                <w:sz w:val="28"/>
                <w:szCs w:val="32"/>
                <w:lang w:val="en-US" w:eastAsia="zh-CN"/>
              </w:rPr>
              <w:t>（3）</w:t>
            </w:r>
            <w:r>
              <w:rPr>
                <w:rFonts w:hint="default" w:ascii="Times New Roman" w:hAnsi="Times New Roman" w:eastAsia="仿宋_GB2312" w:cs="Times New Roman"/>
                <w:color w:val="000000"/>
                <w:sz w:val="28"/>
                <w:szCs w:val="32"/>
                <w:lang w:val="en-US" w:eastAsia="zh-CN"/>
              </w:rPr>
              <w:t>基于上述研究内容，考虑湖北省危险废物利用处置实际及环境管理要求，按照《标准化工作导则 第1部分：标准化文件的结构和起草规则》（GB/T 1.1-2020）要求统筹编制《湖北省危险废物利用处置污染控制技术规范 第1部分 通则》。</w:t>
            </w:r>
          </w:p>
        </w:tc>
      </w:tr>
      <w:tr w14:paraId="2B84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Pr>
          <w:p w14:paraId="790DEFD4">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标准比对：</w:t>
            </w:r>
          </w:p>
          <w:p w14:paraId="79490EA3">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目前，国家已出台了一系列关于危险废物管理的法律法规和标准规范，如《中华人民共和国固体废物污染环境防治法》《危险废物贮存污染控制标准》（GB 18597）、《危险废物焚烧污染控制标准》（GB 18484）、《危险废物填埋污染控制标准》（GB 18598）、《固体废物鉴别标准 通则》（GB 34330）等，为危险废物的管理提供了基本遵循。然而，湖北省在危险废物利用处置过程中，面临着地域环境差异、产业结构特点等特殊情况，现有国家层面的标准难以全面满足本省实际需求。</w:t>
            </w:r>
          </w:p>
          <w:p w14:paraId="11A167A7">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val="en-US" w:eastAsia="zh-CN"/>
              </w:rPr>
              <w:t>本技术规范的编制严格遵循国家和湖北省现行的有关危险废物管理的法律法规，在其基础上，结合湖北省实际情况，对危险废物利用处置过程中的污染控制技术要求进行了细化和补充，与现行国家标准相衔接，共同构成了湖北省危险废物管理的标准体系。本规范与现行法律法规、标准在目标上保持一致，都是为了加强危险废物管理，防止危险废物污染环境，保障生态环境安全和人体健康。在内容上，本规范是对现行法律法规、标准的进一步细化和落实，具有更强的针对性和可操作性，能够更好地指导湖北省危险废物利用处置单位的实际工作</w:t>
            </w:r>
            <w:r>
              <w:rPr>
                <w:rFonts w:hint="eastAsia" w:ascii="Times New Roman" w:hAnsi="Times New Roman" w:eastAsia="仿宋_GB2312" w:cs="Times New Roman"/>
                <w:color w:val="000000"/>
                <w:sz w:val="28"/>
                <w:szCs w:val="32"/>
                <w:lang w:eastAsia="zh-CN"/>
              </w:rPr>
              <w:t>。</w:t>
            </w:r>
          </w:p>
        </w:tc>
      </w:tr>
      <w:tr w14:paraId="1D0F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5000" w:type="pct"/>
            <w:gridSpan w:val="4"/>
          </w:tcPr>
          <w:p w14:paraId="6F5BDBD6">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风险分析：</w:t>
            </w:r>
          </w:p>
          <w:p w14:paraId="59C98937">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本标准的制订，是基于我国现有法律规定，主要服务于</w:t>
            </w:r>
            <w:r>
              <w:rPr>
                <w:rFonts w:hint="eastAsia" w:eastAsia="仿宋_GB2312" w:cs="Times New Roman"/>
                <w:color w:val="000000"/>
                <w:sz w:val="28"/>
                <w:szCs w:val="32"/>
                <w:lang w:val="en-US" w:eastAsia="zh-CN"/>
              </w:rPr>
              <w:t>危险废物利用处置</w:t>
            </w:r>
            <w:r>
              <w:rPr>
                <w:rFonts w:hint="eastAsia" w:ascii="Times New Roman" w:hAnsi="Times New Roman" w:eastAsia="仿宋_GB2312" w:cs="Times New Roman"/>
                <w:color w:val="000000"/>
                <w:sz w:val="28"/>
                <w:szCs w:val="32"/>
                <w:lang w:val="en-US" w:eastAsia="zh-CN"/>
              </w:rPr>
              <w:t>单位（含自行利用）</w:t>
            </w:r>
            <w:r>
              <w:rPr>
                <w:rFonts w:hint="eastAsia" w:ascii="Times New Roman" w:hAnsi="Times New Roman" w:eastAsia="仿宋_GB2312" w:cs="Times New Roman"/>
                <w:color w:val="000000"/>
                <w:sz w:val="28"/>
                <w:szCs w:val="32"/>
                <w:lang w:eastAsia="zh-CN"/>
              </w:rPr>
              <w:t>、行政机关等，若法条有所更新，遵循国家的最新要求。</w:t>
            </w:r>
          </w:p>
          <w:p w14:paraId="19DDB6D0">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若标准与其他标准规定内容有出入，应当依下列顺序遵守和采用该专业领域的技术标准和技术规范：</w:t>
            </w:r>
          </w:p>
          <w:p w14:paraId="3BAFBA5F">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（1）国家标准和技术规范；</w:t>
            </w:r>
          </w:p>
          <w:p w14:paraId="42BB94FF">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（2）相关行业主管部门制定的行业标准和技术规范；</w:t>
            </w:r>
          </w:p>
          <w:p w14:paraId="2EACEE3D">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（3）该专业领域多数专家认可的技术标准和技术规范。</w:t>
            </w:r>
          </w:p>
        </w:tc>
      </w:tr>
      <w:tr w14:paraId="71EE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jc w:val="center"/>
        </w:trPr>
        <w:tc>
          <w:tcPr>
            <w:tcW w:w="5000" w:type="pct"/>
            <w:gridSpan w:val="4"/>
          </w:tcPr>
          <w:p w14:paraId="6A743308">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color w:val="000000"/>
                <w:sz w:val="28"/>
                <w:szCs w:val="32"/>
                <w:lang w:eastAsia="zh-CN"/>
              </w:rPr>
              <w:t>5.宣贯实施计划：</w:t>
            </w:r>
          </w:p>
          <w:p w14:paraId="2A5AFA7B">
            <w:pPr>
              <w:keepNext w:val="0"/>
              <w:keepLines w:val="0"/>
              <w:pageBreakBefore w:val="0"/>
              <w:widowControl w:val="0"/>
              <w:kinsoku/>
              <w:wordWrap/>
              <w:overflowPunct/>
              <w:topLinePunct w:val="0"/>
              <w:autoSpaceDE/>
              <w:autoSpaceDN/>
              <w:bidi w:val="0"/>
              <w:adjustRightInd w:val="0"/>
              <w:snapToGrid w:val="0"/>
              <w:spacing w:line="360" w:lineRule="exact"/>
              <w:ind w:firstLine="562"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b/>
                <w:bCs/>
                <w:color w:val="000000"/>
                <w:sz w:val="28"/>
                <w:szCs w:val="32"/>
                <w:lang w:val="en-US" w:eastAsia="zh-CN"/>
              </w:rPr>
              <w:t>成立编制组</w:t>
            </w:r>
            <w:r>
              <w:rPr>
                <w:rFonts w:hint="eastAsia" w:eastAsia="仿宋_GB2312" w:cs="Times New Roman"/>
                <w:b/>
                <w:bCs/>
                <w:color w:val="000000"/>
                <w:sz w:val="28"/>
                <w:szCs w:val="32"/>
                <w:lang w:val="en-US" w:eastAsia="zh-CN"/>
              </w:rPr>
              <w:t>（2024.11）</w:t>
            </w:r>
            <w:r>
              <w:rPr>
                <w:rFonts w:hint="eastAsia" w:ascii="Times New Roman" w:hAnsi="Times New Roman" w:eastAsia="仿宋_GB2312" w:cs="Times New Roman"/>
                <w:color w:val="000000"/>
                <w:sz w:val="28"/>
                <w:szCs w:val="32"/>
                <w:lang w:val="en-US" w:eastAsia="zh-CN"/>
              </w:rPr>
              <w:t>：由湖北省生态环境科学研究院牵头，联合省内相关科研机构、高校以及具有丰富实践经验的危险废物利用处置企业等单位的专家和技术人员，组建了《湖北省危险废物利用处置污染控制技术规范 第 1 部分 通则》编制组。编制组成员涵盖了环境工程、化学工程、生态环境管理等多个领域，具备扎实的专业知识和丰富的实践经验，为规范的编制提供了有力的技术支持。</w:t>
            </w:r>
          </w:p>
          <w:p w14:paraId="4830F347">
            <w:pPr>
              <w:keepNext w:val="0"/>
              <w:keepLines w:val="0"/>
              <w:pageBreakBefore w:val="0"/>
              <w:widowControl w:val="0"/>
              <w:kinsoku/>
              <w:wordWrap/>
              <w:overflowPunct/>
              <w:topLinePunct w:val="0"/>
              <w:autoSpaceDE/>
              <w:autoSpaceDN/>
              <w:bidi w:val="0"/>
              <w:adjustRightInd w:val="0"/>
              <w:snapToGrid w:val="0"/>
              <w:spacing w:line="360" w:lineRule="exact"/>
              <w:ind w:firstLine="562"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b/>
                <w:bCs/>
                <w:color w:val="000000"/>
                <w:sz w:val="28"/>
                <w:szCs w:val="32"/>
                <w:lang w:val="en-US" w:eastAsia="zh-CN"/>
              </w:rPr>
              <w:t>资料收集与调研</w:t>
            </w:r>
            <w:r>
              <w:rPr>
                <w:rFonts w:hint="eastAsia" w:eastAsia="仿宋_GB2312" w:cs="Times New Roman"/>
                <w:b/>
                <w:bCs/>
                <w:color w:val="000000"/>
                <w:sz w:val="28"/>
                <w:szCs w:val="32"/>
                <w:lang w:val="en-US" w:eastAsia="zh-CN"/>
              </w:rPr>
              <w:t>（2025.01-04）</w:t>
            </w:r>
            <w:r>
              <w:rPr>
                <w:rFonts w:hint="eastAsia" w:ascii="Times New Roman" w:hAnsi="Times New Roman" w:eastAsia="仿宋_GB2312" w:cs="Times New Roman"/>
                <w:b/>
                <w:bCs/>
                <w:color w:val="000000"/>
                <w:sz w:val="28"/>
                <w:szCs w:val="32"/>
                <w:lang w:val="en-US" w:eastAsia="zh-CN"/>
              </w:rPr>
              <w:t>：</w:t>
            </w:r>
            <w:r>
              <w:rPr>
                <w:rFonts w:hint="eastAsia" w:ascii="Times New Roman" w:hAnsi="Times New Roman" w:eastAsia="仿宋_GB2312" w:cs="Times New Roman"/>
                <w:color w:val="000000"/>
                <w:sz w:val="28"/>
                <w:szCs w:val="32"/>
                <w:lang w:val="en-US" w:eastAsia="zh-CN"/>
              </w:rPr>
              <w:t>编制组广泛收集了国内外有关危险废物利用处置污染控制的法律法规、标准规范、技术文献等资料，对国家及其他省市已发布的相关标准进行了深入研究分析。同时，对湖北省内多家危险废物利用处置单位进行了实地调研，详细了解企业在危险废物处理处置过程中的实际操作情况、存在的问题以及对技术规范的需求。通过调研，掌握了湖北省危险废物利用处置行业的第一手资料，为规范的编制提供了实践依据。</w:t>
            </w:r>
          </w:p>
          <w:p w14:paraId="4B0DEACA">
            <w:pPr>
              <w:keepNext w:val="0"/>
              <w:keepLines w:val="0"/>
              <w:pageBreakBefore w:val="0"/>
              <w:widowControl w:val="0"/>
              <w:kinsoku/>
              <w:wordWrap/>
              <w:overflowPunct/>
              <w:topLinePunct w:val="0"/>
              <w:autoSpaceDE/>
              <w:autoSpaceDN/>
              <w:bidi w:val="0"/>
              <w:adjustRightInd w:val="0"/>
              <w:snapToGrid w:val="0"/>
              <w:spacing w:line="360" w:lineRule="exact"/>
              <w:ind w:firstLine="562"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b/>
                <w:bCs/>
                <w:color w:val="000000"/>
                <w:sz w:val="28"/>
                <w:szCs w:val="32"/>
                <w:lang w:val="en-US" w:eastAsia="zh-CN"/>
              </w:rPr>
              <w:t>起草阶段</w:t>
            </w:r>
            <w:r>
              <w:rPr>
                <w:rFonts w:hint="eastAsia" w:eastAsia="仿宋_GB2312" w:cs="Times New Roman"/>
                <w:b/>
                <w:bCs/>
                <w:color w:val="000000"/>
                <w:sz w:val="28"/>
                <w:szCs w:val="32"/>
                <w:lang w:val="en-US" w:eastAsia="zh-CN"/>
              </w:rPr>
              <w:t>（2025.05-08）</w:t>
            </w:r>
            <w:r>
              <w:rPr>
                <w:rFonts w:hint="eastAsia" w:ascii="Times New Roman" w:hAnsi="Times New Roman" w:eastAsia="仿宋_GB2312" w:cs="Times New Roman"/>
                <w:b/>
                <w:bCs/>
                <w:color w:val="000000"/>
                <w:sz w:val="28"/>
                <w:szCs w:val="32"/>
                <w:lang w:val="en-US" w:eastAsia="zh-CN"/>
              </w:rPr>
              <w:t>：</w:t>
            </w:r>
            <w:r>
              <w:rPr>
                <w:rFonts w:hint="eastAsia" w:ascii="Times New Roman" w:hAnsi="Times New Roman" w:eastAsia="仿宋_GB2312" w:cs="Times New Roman"/>
                <w:color w:val="000000"/>
                <w:sz w:val="28"/>
                <w:szCs w:val="32"/>
                <w:lang w:val="en-US" w:eastAsia="zh-CN"/>
              </w:rPr>
              <w:t>在资料收集和调研的基础上，编制组结合湖北省实际情况，依据相关法律法规和标准规范，开始起草《湖北省危险废物利用处置污染控制技术规范 第 1 部分 通则》初稿。初稿对危险废物利用处置的各个环节的技术要求进行了初步规定，明确了污染控制的目标和措施。在起草过程中，编制组多次召开内部研讨会，对初稿内容进行反复讨论和修改，确保规范的科学性、合理性和可操作性。</w:t>
            </w:r>
          </w:p>
          <w:p w14:paraId="125C706A">
            <w:pPr>
              <w:keepNext w:val="0"/>
              <w:keepLines w:val="0"/>
              <w:pageBreakBefore w:val="0"/>
              <w:widowControl w:val="0"/>
              <w:kinsoku/>
              <w:wordWrap/>
              <w:overflowPunct/>
              <w:topLinePunct w:val="0"/>
              <w:autoSpaceDE/>
              <w:autoSpaceDN/>
              <w:bidi w:val="0"/>
              <w:adjustRightInd w:val="0"/>
              <w:snapToGrid w:val="0"/>
              <w:spacing w:line="360" w:lineRule="exact"/>
              <w:ind w:firstLine="562"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b/>
                <w:bCs/>
                <w:color w:val="000000"/>
                <w:sz w:val="28"/>
                <w:szCs w:val="32"/>
                <w:lang w:val="en-US" w:eastAsia="zh-CN"/>
              </w:rPr>
              <w:t>征求意见</w:t>
            </w:r>
            <w:r>
              <w:rPr>
                <w:rFonts w:hint="eastAsia" w:eastAsia="仿宋_GB2312" w:cs="Times New Roman"/>
                <w:b/>
                <w:bCs/>
                <w:color w:val="000000"/>
                <w:sz w:val="28"/>
                <w:szCs w:val="32"/>
                <w:lang w:val="en-US" w:eastAsia="zh-CN"/>
              </w:rPr>
              <w:t>及审查</w:t>
            </w:r>
            <w:r>
              <w:rPr>
                <w:rFonts w:hint="eastAsia" w:ascii="Times New Roman" w:hAnsi="Times New Roman" w:eastAsia="仿宋_GB2312" w:cs="Times New Roman"/>
                <w:b/>
                <w:bCs/>
                <w:color w:val="000000"/>
                <w:sz w:val="28"/>
                <w:szCs w:val="32"/>
                <w:lang w:val="en-US" w:eastAsia="zh-CN"/>
              </w:rPr>
              <w:t>阶段</w:t>
            </w:r>
            <w:r>
              <w:rPr>
                <w:rFonts w:hint="eastAsia" w:eastAsia="仿宋_GB2312" w:cs="Times New Roman"/>
                <w:b/>
                <w:bCs/>
                <w:color w:val="000000"/>
                <w:sz w:val="28"/>
                <w:szCs w:val="32"/>
                <w:lang w:val="en-US" w:eastAsia="zh-CN"/>
              </w:rPr>
              <w:t>（2025.09-10）</w:t>
            </w:r>
            <w:r>
              <w:rPr>
                <w:rFonts w:hint="eastAsia" w:ascii="Times New Roman" w:hAnsi="Times New Roman" w:eastAsia="仿宋_GB2312" w:cs="Times New Roman"/>
                <w:b/>
                <w:bCs/>
                <w:color w:val="000000"/>
                <w:sz w:val="28"/>
                <w:szCs w:val="32"/>
                <w:lang w:val="en-US" w:eastAsia="zh-CN"/>
              </w:rPr>
              <w:t>：</w:t>
            </w:r>
            <w:r>
              <w:rPr>
                <w:rFonts w:hint="eastAsia" w:ascii="Times New Roman" w:hAnsi="Times New Roman" w:eastAsia="仿宋_GB2312" w:cs="Times New Roman"/>
                <w:color w:val="000000"/>
                <w:sz w:val="28"/>
                <w:szCs w:val="32"/>
                <w:lang w:val="en-US" w:eastAsia="zh-CN"/>
              </w:rPr>
              <w:t>待广泛征求各方意见后，进行认真梳理分析，进一步修改完善形成规范送审。</w:t>
            </w:r>
          </w:p>
          <w:p w14:paraId="05684523">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专家评审阶段：</w:t>
            </w:r>
            <w:r>
              <w:rPr>
                <w:rFonts w:hint="default" w:ascii="Times New Roman" w:hAnsi="Times New Roman" w:eastAsia="仿宋_GB2312" w:cs="Times New Roman"/>
                <w:color w:val="000000"/>
                <w:sz w:val="28"/>
                <w:szCs w:val="32"/>
                <w:lang w:val="en-US" w:eastAsia="zh-CN"/>
              </w:rPr>
              <w:t>将完</w:t>
            </w:r>
            <w:bookmarkStart w:id="0" w:name="_GoBack"/>
            <w:bookmarkEnd w:id="0"/>
            <w:r>
              <w:rPr>
                <w:rFonts w:hint="default" w:ascii="Times New Roman" w:hAnsi="Times New Roman" w:eastAsia="仿宋_GB2312" w:cs="Times New Roman"/>
                <w:color w:val="000000"/>
                <w:sz w:val="28"/>
                <w:szCs w:val="32"/>
                <w:lang w:val="en-US" w:eastAsia="zh-CN"/>
              </w:rPr>
              <w:t>善后的标准送审稿、规范编制说明、意见汇总表及其他相关附件送分标委秘书处，采用会议或函审方式审查。通过审查后，根据评审意见进行修改并形成标准报批稿。</w:t>
            </w:r>
          </w:p>
          <w:p w14:paraId="4340F994">
            <w:pPr>
              <w:keepNext w:val="0"/>
              <w:keepLines w:val="0"/>
              <w:pageBreakBefore w:val="0"/>
              <w:widowControl w:val="0"/>
              <w:kinsoku/>
              <w:wordWrap/>
              <w:overflowPunct/>
              <w:topLinePunct w:val="0"/>
              <w:autoSpaceDE/>
              <w:autoSpaceDN/>
              <w:bidi w:val="0"/>
              <w:adjustRightInd w:val="0"/>
              <w:snapToGrid w:val="0"/>
              <w:spacing w:line="360" w:lineRule="exact"/>
              <w:ind w:firstLine="562" w:firstLineChars="200"/>
              <w:textAlignment w:val="auto"/>
              <w:rPr>
                <w:rFonts w:hint="default" w:ascii="Times New Roman" w:hAnsi="Times New Roman" w:eastAsia="仿宋_GB2312" w:cs="Times New Roman"/>
                <w:color w:val="000000"/>
                <w:sz w:val="28"/>
                <w:szCs w:val="32"/>
                <w:lang w:eastAsia="zh-CN"/>
              </w:rPr>
            </w:pPr>
            <w:r>
              <w:rPr>
                <w:rFonts w:hint="eastAsia" w:ascii="Times New Roman" w:hAnsi="Times New Roman" w:eastAsia="仿宋_GB2312" w:cs="Times New Roman"/>
                <w:b/>
                <w:bCs/>
                <w:color w:val="000000"/>
                <w:sz w:val="28"/>
                <w:szCs w:val="32"/>
                <w:lang w:val="en-US" w:eastAsia="zh-CN"/>
              </w:rPr>
              <w:t>标准发布实施阶段</w:t>
            </w:r>
            <w:r>
              <w:rPr>
                <w:rFonts w:hint="eastAsia" w:eastAsia="仿宋_GB2312" w:cs="Times New Roman"/>
                <w:b/>
                <w:bCs/>
                <w:color w:val="000000"/>
                <w:sz w:val="28"/>
                <w:szCs w:val="32"/>
                <w:lang w:val="en-US" w:eastAsia="zh-CN"/>
              </w:rPr>
              <w:t>（2025.11-12）</w:t>
            </w:r>
            <w:r>
              <w:rPr>
                <w:rFonts w:hint="eastAsia" w:ascii="Times New Roman" w:hAnsi="Times New Roman" w:eastAsia="仿宋_GB2312" w:cs="Times New Roman"/>
                <w:b/>
                <w:bCs/>
                <w:color w:val="000000"/>
                <w:sz w:val="28"/>
                <w:szCs w:val="32"/>
                <w:lang w:val="en-US" w:eastAsia="zh-CN"/>
              </w:rPr>
              <w:t>：</w:t>
            </w:r>
            <w:r>
              <w:rPr>
                <w:rFonts w:hint="eastAsia" w:eastAsia="仿宋_GB2312" w:cs="Times New Roman"/>
                <w:color w:val="000000"/>
                <w:sz w:val="28"/>
                <w:szCs w:val="32"/>
                <w:lang w:val="en-US" w:eastAsia="zh-CN"/>
              </w:rPr>
              <w:t>标准通过审查后发布，</w:t>
            </w:r>
            <w:r>
              <w:rPr>
                <w:rFonts w:hint="eastAsia" w:ascii="Times New Roman" w:hAnsi="Times New Roman" w:eastAsia="仿宋_GB2312" w:cs="Times New Roman"/>
                <w:color w:val="000000"/>
                <w:sz w:val="28"/>
                <w:szCs w:val="32"/>
                <w:lang w:val="en-US" w:eastAsia="zh-CN"/>
              </w:rPr>
              <w:t>同时进行标准的宣贯培训。</w:t>
            </w:r>
          </w:p>
        </w:tc>
      </w:tr>
      <w:tr w14:paraId="1580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1" w:hRule="atLeast"/>
          <w:jc w:val="center"/>
        </w:trPr>
        <w:tc>
          <w:tcPr>
            <w:tcW w:w="5000" w:type="pct"/>
            <w:gridSpan w:val="4"/>
          </w:tcPr>
          <w:p w14:paraId="3FD49D7C">
            <w:pPr>
              <w:pStyle w:val="4"/>
              <w:widowControl w:val="0"/>
              <w:spacing w:before="0" w:beforeAutospacing="0" w:after="0" w:afterAutospacing="0" w:line="360" w:lineRule="exact"/>
              <w:jc w:val="both"/>
              <w:rPr>
                <w:rFonts w:ascii="方正仿宋_GBK" w:hAnsi="仿宋_GB2312" w:eastAsia="方正仿宋_GBK" w:cs="仿宋_GB2312"/>
                <w:kern w:val="2"/>
                <w:sz w:val="28"/>
                <w:szCs w:val="32"/>
              </w:rPr>
            </w:pPr>
            <w:r>
              <w:rPr>
                <w:rFonts w:hint="eastAsia" w:ascii="方正仿宋_GBK" w:hAnsi="仿宋_GB2312" w:eastAsia="方正仿宋_GBK" w:cs="仿宋_GB2312"/>
                <w:kern w:val="2"/>
                <w:sz w:val="28"/>
                <w:szCs w:val="32"/>
              </w:rPr>
              <w:t>6.专家组：</w:t>
            </w:r>
          </w:p>
          <w:p w14:paraId="18A50F50">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default"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朱  燕，项目统筹。湖北省生态环境科学研究院，高级工程师，</w:t>
            </w:r>
            <w:r>
              <w:rPr>
                <w:rFonts w:hint="eastAsia" w:eastAsia="仿宋_GB2312" w:cs="Times New Roman"/>
                <w:color w:val="000000"/>
                <w:sz w:val="28"/>
                <w:szCs w:val="32"/>
                <w:lang w:val="en-US" w:eastAsia="zh-CN"/>
              </w:rPr>
              <w:t>环境工程，</w:t>
            </w:r>
            <w:r>
              <w:rPr>
                <w:rFonts w:hint="eastAsia" w:ascii="Times New Roman" w:hAnsi="Times New Roman" w:eastAsia="仿宋_GB2312" w:cs="Times New Roman"/>
                <w:color w:val="000000"/>
                <w:sz w:val="28"/>
                <w:szCs w:val="32"/>
                <w:lang w:val="en-US" w:eastAsia="zh-CN"/>
              </w:rPr>
              <w:t>所长。</w:t>
            </w:r>
          </w:p>
          <w:p w14:paraId="28AA8F1B">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金海林，项目组组长，协调推进标准编制工作，湖北省生态环境科学研究院，工程师，生态经济，027-878687701。</w:t>
            </w:r>
          </w:p>
          <w:p w14:paraId="30F42A6F">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hint="eastAsia" w:ascii="Times New Roman" w:hAnsi="Times New Roman" w:eastAsia="仿宋_GB2312" w:cs="Times New Roman"/>
                <w:color w:val="000000"/>
                <w:sz w:val="28"/>
                <w:szCs w:val="32"/>
                <w:lang w:val="en-US" w:eastAsia="zh-CN"/>
              </w:rPr>
            </w:pPr>
            <w:r>
              <w:rPr>
                <w:rFonts w:hint="eastAsia" w:ascii="Times New Roman" w:hAnsi="Times New Roman" w:eastAsia="仿宋_GB2312" w:cs="Times New Roman"/>
                <w:color w:val="000000"/>
                <w:sz w:val="28"/>
                <w:szCs w:val="32"/>
                <w:lang w:val="en-US" w:eastAsia="zh-CN"/>
              </w:rPr>
              <w:t>陈丽鸣，项目组副组长，统筹负责标准起草工作，湖北省生态环境科学研究院，工程师，有机化学。</w:t>
            </w:r>
          </w:p>
          <w:p w14:paraId="0DC87567">
            <w:pPr>
              <w:keepNext w:val="0"/>
              <w:keepLines w:val="0"/>
              <w:pageBreakBefore w:val="0"/>
              <w:widowControl w:val="0"/>
              <w:kinsoku/>
              <w:wordWrap/>
              <w:overflowPunct/>
              <w:topLinePunct w:val="0"/>
              <w:autoSpaceDE/>
              <w:autoSpaceDN/>
              <w:bidi w:val="0"/>
              <w:adjustRightInd w:val="0"/>
              <w:snapToGrid w:val="0"/>
              <w:spacing w:line="360" w:lineRule="exact"/>
              <w:ind w:firstLine="560" w:firstLineChars="200"/>
              <w:textAlignment w:val="auto"/>
              <w:rPr>
                <w:rFonts w:ascii="方正仿宋_GBK" w:hAnsi="仿宋_GB2312" w:eastAsia="方正仿宋_GBK" w:cs="仿宋_GB2312"/>
                <w:sz w:val="28"/>
                <w:szCs w:val="32"/>
              </w:rPr>
            </w:pPr>
            <w:r>
              <w:rPr>
                <w:rFonts w:hint="eastAsia" w:ascii="Times New Roman" w:hAnsi="Times New Roman" w:eastAsia="仿宋_GB2312" w:cs="Times New Roman"/>
                <w:color w:val="000000"/>
                <w:sz w:val="28"/>
                <w:szCs w:val="32"/>
                <w:lang w:val="en-US" w:eastAsia="zh-CN"/>
              </w:rPr>
              <w:t>由湖北省生态环境科学研究院（省生态环境工程评估中心）、湖北省固体废物与化学品污染防治中心相关技术人员组成标准编制组。</w:t>
            </w:r>
          </w:p>
        </w:tc>
      </w:tr>
    </w:tbl>
    <w:p w14:paraId="4EB9BD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3AA"/>
    <w:rsid w:val="001F13BF"/>
    <w:rsid w:val="001F704F"/>
    <w:rsid w:val="00325CEC"/>
    <w:rsid w:val="003C210F"/>
    <w:rsid w:val="004F43AA"/>
    <w:rsid w:val="006F33C7"/>
    <w:rsid w:val="007834D1"/>
    <w:rsid w:val="00A2788F"/>
    <w:rsid w:val="00A42231"/>
    <w:rsid w:val="00AE2013"/>
    <w:rsid w:val="00BF2C25"/>
    <w:rsid w:val="00BF31E2"/>
    <w:rsid w:val="00C41220"/>
    <w:rsid w:val="00FA1A5A"/>
    <w:rsid w:val="02F53218"/>
    <w:rsid w:val="047C0782"/>
    <w:rsid w:val="09F00295"/>
    <w:rsid w:val="0CCD48BE"/>
    <w:rsid w:val="0ECA7307"/>
    <w:rsid w:val="0EE759D4"/>
    <w:rsid w:val="142C11F3"/>
    <w:rsid w:val="1699418F"/>
    <w:rsid w:val="16C17241"/>
    <w:rsid w:val="19630A84"/>
    <w:rsid w:val="1AF23C47"/>
    <w:rsid w:val="1D5F1562"/>
    <w:rsid w:val="222443D1"/>
    <w:rsid w:val="22C24A6D"/>
    <w:rsid w:val="248C15EF"/>
    <w:rsid w:val="251F1528"/>
    <w:rsid w:val="25DB3FA0"/>
    <w:rsid w:val="26993D37"/>
    <w:rsid w:val="26DE5BEE"/>
    <w:rsid w:val="292D0766"/>
    <w:rsid w:val="303A20E7"/>
    <w:rsid w:val="30647164"/>
    <w:rsid w:val="31244B45"/>
    <w:rsid w:val="3599165E"/>
    <w:rsid w:val="3C597D99"/>
    <w:rsid w:val="3DB334D8"/>
    <w:rsid w:val="3FEC2CD2"/>
    <w:rsid w:val="40A35A86"/>
    <w:rsid w:val="41A76EB0"/>
    <w:rsid w:val="45F14B9E"/>
    <w:rsid w:val="49BF6D61"/>
    <w:rsid w:val="555111B5"/>
    <w:rsid w:val="55741347"/>
    <w:rsid w:val="56352885"/>
    <w:rsid w:val="593432C8"/>
    <w:rsid w:val="5A2F1CE1"/>
    <w:rsid w:val="5AF01470"/>
    <w:rsid w:val="5B215ACE"/>
    <w:rsid w:val="5B296730"/>
    <w:rsid w:val="5B5714EF"/>
    <w:rsid w:val="5EF77271"/>
    <w:rsid w:val="6773320D"/>
    <w:rsid w:val="68694610"/>
    <w:rsid w:val="70E466FD"/>
    <w:rsid w:val="71DC40A5"/>
    <w:rsid w:val="72B808B4"/>
    <w:rsid w:val="78120820"/>
    <w:rsid w:val="7A7E219D"/>
    <w:rsid w:val="7CF76237"/>
    <w:rsid w:val="7D5F62B6"/>
    <w:rsid w:val="7E292420"/>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3591</Words>
  <Characters>3692</Characters>
  <Lines>20</Lines>
  <Paragraphs>5</Paragraphs>
  <TotalTime>2</TotalTime>
  <ScaleCrop>false</ScaleCrop>
  <LinksUpToDate>false</LinksUpToDate>
  <CharactersWithSpaces>3720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2024-12-04T06:22:00Z</dcterms:created>
  <dc:creator>cmx</dc:creator>
  <cp:lastModifiedBy>金海林</cp:lastModifiedBy>
  <dcterms:modified xsi:type="dcterms:W3CDTF">2025-08-29T02:44:58Z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eyJoZGlkIjoiNWFlYjc1YTA5ZWE1MDNjZWYyZjgzNTNiYzkyNmJiMmIiLCJ1c2VySWQiOiI0NDYyODA2MzIifQ==</vt:lpwstr>
  </property>
  <property fmtid="{D5CDD505-2E9C-101B-9397-08002B2CF9AE}" pid="3" name="KSOProductBuildVer">
    <vt:lpwstr>2052-12.1.0.22529</vt:lpwstr>
  </property>
  <property fmtid="{D5CDD505-2E9C-101B-9397-08002B2CF9AE}" pid="4" name="ICV">
    <vt:lpwstr>6E1AD45EBAB84E64813516CE36AEA303_12</vt:lpwstr>
  </property>
</Properties>
</file>